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08 1 vom 30. April 2010</w:t>
      </w:r>
    </w:p>
    <w:p>
      <w:r>
        <w:t>VS Kantonsgericht, 2010-04-30, DE</w:t>
      </w:r>
    </w:p>
    <w:p>
      <w:r>
        <w:rPr>
          <w:b/>
        </w:rPr>
        <w:t xml:space="preserve">Quelle: </w:t>
      </w:r>
      <w:r>
        <w:t>https://mcp.opencaselaw.ch/entscheid/vs_gerichte_Z1 08 1</w:t>
      </w:r>
    </w:p>
    <w:p>
      <w:r>
        <w:t>FR: VS_GERICHTE Z1 08 1 du 30 avril 2010</w:t>
      </w:r>
    </w:p>
    <w:p>
      <w:r>
        <w:t>IT: VS_GERICHTE Z1 08 1 del 30 aprile 2010</w:t>
      </w:r>
    </w:p>
    <w:p>
      <w:pPr>
        <w:pStyle w:val="Heading2"/>
      </w:pPr>
      <w:r>
        <w:t>Erwägungen</w:t>
      </w:r>
    </w:p>
    <w:p>
      <w:r>
        <w:rPr>
          <w:b/>
        </w:rPr>
        <w:t>E. 4</w:t>
      </w:r>
    </w:p>
    <w:p>
      <w:r>
        <w:t>3. 5. Die Kläger haben den Dienstbarkeitsbelasteten einerseits den Wert des beanspruchten Bodens zu entschädigen. In Berücksichtigung der obenstehenden Ausführungen (vgl. E. 4.3.4) ist von Landkosten von Fr. 66’000.– für die Parzelle Nr. 0001 (55 m Länge x 3 m Breite x Fr. 400.–) und für die Parzelle Nr. 0002 von Fr. 48’000.– (40 m Länge x 3 m Breite x Fr. 400.–) auszugehen. Weil vor- liegend beide Parzellen einzig mit einem beschränkten dinglichen Recht belastet werden und mithin die Beklagten Eigentümer der bela- steten Grundstückteile bleiben, erscheint eine Beteiligung der Kläger</w:t>
      </w:r>
    </w:p>
    <w:p>
      <w:r>
        <w:t>im Umfange von 1/3 des Verkehrswertes als angemessen. Die Festset- zung auf einen Drittel ist insbesondere auch in Berücksichtigung der Tatsache angezeigt, dass einzig ein vergleichsweise geringer Bruchteil der beiden grossen Parzellen der Beklagten je an der Parzellengrenze durch das Notwegrecht belastet wird. Kommt hinzu, dass die berech- tigte Parzelle im Verhältnis zu den belasteten Parzellen bloss ein Aus- mass von 599 m2 umfasst, was insbesondere keine wesentlichen Immis- sionen und Belastungen der Parzellen der Beklagten erwarten lässt. Dabei ist hinsichtlich der Parzelle 0002, auf der ein Möbelhaus mit Aus- stellungsräumen betrieben wird, zu beachten, dass dieses sowohl von grösseren Lieferantenfahrzeugen als auch von den Besuchern verhält- nismässig stark frequentiert werden muss, wobei mit einer Nutzungs- änderung dieser Parzelle auf Jahre hinaus nicht zu rechnen ist. Zu berücksichtigen ist ferner, dass die Beklagten anlässlich des Parzellie- rungs-, Kauf- und Grunddienstbarkeitsvertrags vom 30. November 2005, womit insbesondere das zu Lasten der Parzelle Nr. 0001 und zu Gunsten der Parzellen Nr. 0002 und 0003 eingeräumte Durchgangs- und Durchfahrtsrecht geregelt wurde, das zu einer wesentlich höheren Belastung der Parzelle Nr. 0001 führte, einen Eintragungswert dieser Grunddienstbarkeiten von insgesamt einzig Fr. 16’000.– festhielten. Eine höhere Beteiligung der Kläger als mit einem Drittel erscheint ins- gesamt betrachtet somit als nicht gerechtfertigt. Hinsichtlich der Par- zelle Nr. 0001 ist zudem das bestehende Durchgangs- und Durchfahrts- recht zu Gunsten der Parzellen Nrn. 0002 und 0003 in einer Breite von</w:t>
      </w:r>
    </w:p>
    <w:p>
      <w:r>
        <w:rPr>
          <w:b/>
        </w:rPr>
        <w:t>E. 6</w:t>
      </w:r>
    </w:p>
    <w:p>
      <w:r>
        <w:t>Metern, womit insgesamt bereits eine verhältnismässig sehr grosse Fläche von 11’111 m2≤erschlossen wird, zu berücksichtigen mit der Folge, dass dies zu einer weiteren Verminderung der Entschädigung führt. Hier erscheint eine Beteiligung der Kläger von insgesamt 1/5 als angemessen. Somit betragen die Entschädigungen für die Parzelle Nr. 0001 Fr. 13’200.– (1/5 von Fr. 66’000.–) und für die Parzelle Nr. 0002 Fr. 16’000.– (1/3 von Fr. 48’000.–). Die Kläger haben für den Wert des bean- spruchten Bodens folglich insgesamt Fr. 29’200.– zu bezahlen. 4. 3. 6. Andererseits haben die Kläger den Dienstbarkeitsbelaste- ten auch die Erstellungskosten der bestehenden Strasse zu entschädi- gen (vgl. u.a. PKG 1987 S. 9 ff.). ... Das Gericht hat keinen Anlass, von den Ausführungen der Exper- ten hinsichtlich der Kosten der Zufahrtsstrasse in Höhe von Fr. 73’500.– für die Breite von 6 m abzuweichen, wobei einzig die Erstellungskosten auf den Parzellen der Beklagten zu berücksichtigen sind, weil nicht erwiesen ist, dass die Strecke ab Hauptstrasse bis zur Parzelle Nr. 0001 278 RVJ/ZWR 2010</w:t>
      </w:r>
    </w:p>
    <w:p>
      <w:r>
        <w:t>RVJ/ZWR 2010 279 von den Beklagten bzw. deren Rechtsvorgängerin bezahlt wurde. Für die verbleibenden 95 m betragen die Kosten somit Fr. 66’500.– und für die Breite von 3 m Fr. 33’250.–, somit pro Meter Fr. 350.–. Der Einbezug der Baukosten in die Berechnung der von den Klägern zu leistenden Entschädigung kann ebenfalls zu demselben Prozentsatz erfolgen (PKG 1987 S. 12), wie dieser für den Wert des beanspruchten Bodens festge- legt wurde. Dies ergibt eine Entschädigung zu Gunsten der Parzelle Nr. 0001 für eine Strecke von ca. 55 m von Fr. 3’850.– (ca. 55 m x Fr. 350.–, davon 1/5) und zu Gunsten der Parzelle Nr. 0002 für ca. 40 m gerundet von Fr. 4’666.– (ca. 40 m x Fr. 350.–, davon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